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00" w:after="0"/>
        <w:rPr/>
      </w:pPr>
      <w:r>
        <w:rPr/>
      </w:r>
    </w:p>
    <w:p>
      <w:pPr>
        <w:pStyle w:val="Normal"/>
        <w:spacing w:before="0" w:after="60"/>
        <w:jc w:val="center"/>
        <w:rPr/>
      </w:pPr>
      <w:r>
        <w:rPr>
          <w:b/>
          <w:bCs/>
          <w:caps/>
          <w:color w:val="1A1A2E"/>
          <w:sz w:val="32"/>
          <w:szCs w:val="32"/>
        </w:rPr>
        <w:t xml:space="preserve">ДОГОВОР </w:t>
      </w:r>
    </w:p>
    <w:p>
      <w:pPr>
        <w:pStyle w:val="Normal"/>
        <w:spacing w:before="0" w:after="60"/>
        <w:jc w:val="center"/>
        <w:rPr/>
      </w:pPr>
      <w:r>
        <w:rPr>
          <w:color w:val="555555"/>
          <w:sz w:val="22"/>
          <w:szCs w:val="22"/>
        </w:rPr>
        <w:t>на проведение работ по оценке соответствия</w:t>
      </w:r>
    </w:p>
    <w:p>
      <w:pPr>
        <w:pStyle w:val="Normal"/>
        <w:spacing w:before="0" w:after="60"/>
        <w:jc w:val="center"/>
        <w:rPr/>
      </w:pPr>
      <w:r>
        <w:rPr>
          <w:color w:val="555555"/>
          <w:sz w:val="22"/>
          <w:szCs w:val="22"/>
        </w:rPr>
        <w:t>транспортного средства (ГБО)</w:t>
      </w:r>
    </w:p>
    <w:p>
      <w:pPr>
        <w:pStyle w:val="Normal"/>
        <w:spacing w:before="0" w:after="40"/>
        <w:jc w:val="center"/>
        <w:rPr/>
      </w:pPr>
      <w:r>
        <w:rPr>
          <w:color w:val="AAAAAA"/>
          <w:sz w:val="18"/>
          <w:szCs w:val="18"/>
        </w:rPr>
        <w:t>Идентификационный №: Ф ДП-ИЛ-13/В</w:t>
      </w:r>
    </w:p>
    <w:p>
      <w:pPr>
        <w:pStyle w:val="Normal"/>
        <w:spacing w:before="0" w:after="240"/>
        <w:jc w:val="center"/>
        <w:rPr/>
      </w:pPr>
      <w:r>
        <w:rPr>
          <w:color w:val="555555"/>
        </w:rPr>
        <w:t xml:space="preserve">г. Шымкент </w:t>
      </w:r>
    </w:p>
    <w:p>
      <w:pPr>
        <w:pStyle w:val="Normal"/>
        <w:pBdr>
          <w:bottom w:val="single" w:sz="4" w:space="1" w:color="DDDDDD"/>
        </w:pBdr>
        <w:spacing w:before="160" w:after="160"/>
        <w:rPr/>
      </w:pPr>
      <w:r>
        <w:rPr/>
      </w:r>
    </w:p>
    <w:p>
      <w:pPr>
        <w:pStyle w:val="Normal"/>
        <w:spacing w:before="160" w:after="160"/>
        <w:jc w:val="both"/>
        <w:rPr/>
      </w:pPr>
      <w:r>
        <w:rPr>
          <w:b/>
          <w:bCs/>
          <w:color w:val="1A1A2E"/>
        </w:rPr>
        <w:t>ТОО «Көлік сынақ зертханасы»</w:t>
      </w:r>
      <w:r>
        <w:rPr>
          <w:color w:val="555555"/>
        </w:rPr>
        <w:t>, имеющее аттестат аккредитации №KZ.T.16.Е1185, именуемое в дальнейшем — «</w:t>
      </w:r>
      <w:r>
        <w:rPr>
          <w:b/>
          <w:bCs/>
          <w:color w:val="1A1A2E"/>
        </w:rPr>
        <w:t>Исполнитель</w:t>
      </w:r>
      <w:r>
        <w:rPr>
          <w:color w:val="555555"/>
        </w:rPr>
        <w:t>», в лице директора Досмайлова Н.А., действующего на основании Устава, с одной стороны, именуемая в дальнейшем — «</w:t>
      </w:r>
      <w:r>
        <w:rPr>
          <w:b/>
          <w:bCs/>
          <w:color w:val="1A1A2E"/>
        </w:rPr>
        <w:t>Заказчик</w:t>
      </w:r>
      <w:r>
        <w:rPr>
          <w:color w:val="555555"/>
        </w:rPr>
        <w:t>», с другой стороны, совместно именуемые «Стороны», заключили настоящий Договор о нижеследующем.</w:t>
      </w:r>
    </w:p>
    <w:p>
      <w:pPr>
        <w:pStyle w:val="Normal"/>
        <w:pBdr>
          <w:bottom w:val="single" w:sz="4" w:space="1" w:color="DDDDDD"/>
        </w:pBdr>
        <w:spacing w:before="160" w:after="160"/>
        <w:rPr/>
      </w:pPr>
      <w:r>
        <w:rPr/>
      </w:r>
    </w:p>
    <w:p>
      <w:pPr>
        <w:pStyle w:val="Normal"/>
        <w:spacing w:before="240" w:after="120"/>
        <w:rPr/>
      </w:pPr>
      <w:r>
        <w:rPr>
          <w:b/>
          <w:bCs/>
          <w:caps/>
          <w:color w:val="2C3E50"/>
          <w:sz w:val="22"/>
          <w:szCs w:val="22"/>
        </w:rPr>
        <w:t>1. ПРЕДМЕТ ДОГОВОРА</w:t>
      </w:r>
    </w:p>
    <w:p>
      <w:pPr>
        <w:pStyle w:val="Normal"/>
        <w:spacing w:before="100" w:after="100"/>
        <w:ind w:hanging="360" w:start="360"/>
        <w:jc w:val="both"/>
        <w:rPr/>
      </w:pPr>
      <w:r>
        <w:rPr>
          <w:b/>
          <w:bCs/>
          <w:color w:val="2C3E50"/>
        </w:rPr>
        <w:t xml:space="preserve">1.1. </w:t>
      </w:r>
      <w:r>
        <w:rPr>
          <w:color w:val="555555"/>
        </w:rPr>
        <w:t>Заказчик поручает, а Исполнитель принимает на себя обязательства по проведению оценки газобаллонного оборудования (далее — ГБО) транспортного средства (далее — ТС) на соответствие требованиям ГОСТ 31972-2013, СТ РК 2161-2011 и ТР ТС 018/2011.</w:t>
      </w:r>
    </w:p>
    <w:p>
      <w:pPr>
        <w:pStyle w:val="Normal"/>
        <w:spacing w:before="100" w:after="100"/>
        <w:ind w:hanging="360" w:start="360"/>
        <w:jc w:val="both"/>
        <w:rPr/>
      </w:pPr>
      <w:r>
        <w:rPr>
          <w:b/>
          <w:bCs/>
          <w:color w:val="2C3E50"/>
        </w:rPr>
        <w:t xml:space="preserve">1.2. </w:t>
      </w:r>
      <w:r>
        <w:rPr>
          <w:color w:val="555555"/>
        </w:rPr>
        <w:t>Результатом работ является оформление освидетельствования газового баллона и передача Заказчику соответствующей документации.</w:t>
      </w:r>
    </w:p>
    <w:p>
      <w:pPr>
        <w:pStyle w:val="Normal"/>
        <w:spacing w:before="100" w:after="100"/>
        <w:ind w:hanging="360" w:start="360"/>
        <w:jc w:val="both"/>
        <w:rPr/>
      </w:pPr>
      <w:r>
        <w:rPr>
          <w:b/>
          <w:bCs/>
          <w:color w:val="2C3E50"/>
        </w:rPr>
        <w:t xml:space="preserve">1.3. </w:t>
      </w:r>
      <w:r>
        <w:rPr>
          <w:color w:val="555555"/>
        </w:rPr>
        <w:t>Заказчик осознаёт и безоговорочно подтверждает, что эксплуатация ТС без надлежащего подтверждения соответствия является нарушением законодательства Республики Казахстан и осуществляется исключительно на его личный риск.</w:t>
      </w:r>
    </w:p>
    <w:p>
      <w:pPr>
        <w:pStyle w:val="Normal"/>
        <w:pBdr>
          <w:bottom w:val="single" w:sz="4" w:space="1" w:color="DDDDDD"/>
        </w:pBdr>
        <w:spacing w:before="160" w:after="160"/>
        <w:rPr/>
      </w:pPr>
      <w:r>
        <w:rPr/>
      </w:r>
    </w:p>
    <w:p>
      <w:pPr>
        <w:pStyle w:val="Normal"/>
        <w:spacing w:before="240" w:after="120"/>
        <w:rPr/>
      </w:pPr>
      <w:r>
        <w:rPr>
          <w:b/>
          <w:bCs/>
          <w:caps/>
          <w:color w:val="2C3E50"/>
          <w:sz w:val="22"/>
          <w:szCs w:val="22"/>
        </w:rPr>
        <w:t>2. ОБЯЗАТЕЛЬСТВА ЗАКАЗЧИКА</w:t>
      </w:r>
    </w:p>
    <w:p>
      <w:pPr>
        <w:pStyle w:val="Normal"/>
        <w:spacing w:before="100" w:after="100"/>
        <w:ind w:hanging="360" w:start="360"/>
        <w:jc w:val="both"/>
        <w:rPr/>
      </w:pPr>
      <w:r>
        <w:rPr>
          <w:b/>
          <w:bCs/>
          <w:color w:val="2C3E50"/>
        </w:rPr>
        <w:t xml:space="preserve">2.1. </w:t>
      </w:r>
      <w:r>
        <w:rPr>
          <w:color w:val="555555"/>
        </w:rPr>
        <w:t>Заказчик обязан соблюдать все условия сертификации продукции согласно требованиям ГОСТ 33670-2015 и иных нормативных документов Республики Казахстан.</w:t>
      </w:r>
    </w:p>
    <w:p>
      <w:pPr>
        <w:pStyle w:val="Normal"/>
        <w:spacing w:before="100" w:after="100"/>
        <w:ind w:hanging="360" w:start="360"/>
        <w:jc w:val="both"/>
        <w:rPr/>
      </w:pPr>
      <w:r>
        <w:rPr>
          <w:b/>
          <w:bCs/>
          <w:color w:val="2C3E50"/>
        </w:rPr>
        <w:t xml:space="preserve">2.2. </w:t>
      </w:r>
      <w:r>
        <w:rPr>
          <w:color w:val="555555"/>
        </w:rPr>
        <w:t>Предоставить ТС в технически исправном, чистом состоянии, в порожнем состоянии, с достаточным количеством топлива, а также обеспечить присутствие водителя для выполнения требуемых действий (управление органами ТС, открывание дверей, крышек и пр.).</w:t>
      </w:r>
    </w:p>
    <w:p>
      <w:pPr>
        <w:pStyle w:val="Normal"/>
        <w:spacing w:before="100" w:after="100"/>
        <w:ind w:hanging="360" w:start="360"/>
        <w:jc w:val="both"/>
        <w:rPr/>
      </w:pPr>
      <w:r>
        <w:rPr>
          <w:b/>
          <w:bCs/>
          <w:color w:val="2C3E50"/>
        </w:rPr>
        <w:t xml:space="preserve">2.3. </w:t>
      </w:r>
      <w:r>
        <w:rPr>
          <w:color w:val="555555"/>
        </w:rPr>
        <w:t>Предоставить полный комплект достоверных документов: нормативную документацию, технический паспорт, паспорт ГБО и иные материалы, связанные с сертифицируемой продукцией, на государственном или русском языке. Заказчик несёт полную и исключительную ответственность за подлинность, достоверность и полноту всех предоставленных документов и сведений.</w:t>
      </w:r>
    </w:p>
    <w:p>
      <w:pPr>
        <w:pStyle w:val="Normal"/>
        <w:spacing w:before="100" w:after="100"/>
        <w:ind w:hanging="360" w:start="360"/>
        <w:jc w:val="both"/>
        <w:rPr/>
      </w:pPr>
      <w:r>
        <w:rPr>
          <w:b/>
          <w:bCs/>
          <w:color w:val="2C3E50"/>
        </w:rPr>
        <w:t xml:space="preserve">2.4. </w:t>
      </w:r>
      <w:r>
        <w:rPr>
          <w:color w:val="555555"/>
        </w:rPr>
        <w:t>На ТС должен быть нанесён идентификационный номер без следов исправления.</w:t>
      </w:r>
    </w:p>
    <w:p>
      <w:pPr>
        <w:pStyle w:val="Normal"/>
        <w:spacing w:before="100" w:after="100"/>
        <w:ind w:hanging="360" w:start="360"/>
        <w:jc w:val="both"/>
        <w:rPr/>
      </w:pPr>
      <w:r>
        <w:rPr>
          <w:b/>
          <w:bCs/>
          <w:color w:val="2C3E50"/>
        </w:rPr>
        <w:t xml:space="preserve">2.5. </w:t>
      </w:r>
      <w:r>
        <w:rPr>
          <w:color w:val="555555"/>
        </w:rPr>
        <w:t>Незамедлительно информировать Исполнителя о любых изменениях в сертифицированной продукции на протяжении всего срока действия договора.</w:t>
      </w:r>
    </w:p>
    <w:p>
      <w:pPr>
        <w:pStyle w:val="Normal"/>
        <w:spacing w:before="100" w:after="100"/>
        <w:ind w:hanging="360" w:start="360"/>
        <w:jc w:val="both"/>
        <w:rPr/>
      </w:pPr>
      <w:r>
        <w:rPr>
          <w:b/>
          <w:bCs/>
          <w:color w:val="2C3E50"/>
        </w:rPr>
        <w:t xml:space="preserve">2.6. </w:t>
      </w:r>
      <w:r>
        <w:rPr>
          <w:color w:val="555555"/>
        </w:rPr>
        <w:t>Использовать выданный сертификат строго в пределах сферы деятельности, применительно к которой он выдан. Заказчику категорически запрещается использовать сертификат либо иные документы по сертификации способами, способными ввести в заблуждение третьих лиц, создать негативный образ Исполнителя или органа по сертификации, либо нарушить законодательство РК.</w:t>
      </w:r>
    </w:p>
    <w:p>
      <w:pPr>
        <w:pStyle w:val="Normal"/>
        <w:spacing w:before="100" w:after="100"/>
        <w:ind w:hanging="360" w:start="360"/>
        <w:jc w:val="both"/>
        <w:rPr/>
      </w:pPr>
      <w:r>
        <w:rPr>
          <w:b/>
          <w:bCs/>
          <w:color w:val="2C3E50"/>
        </w:rPr>
        <w:t xml:space="preserve">2.7. </w:t>
      </w:r>
      <w:r>
        <w:rPr>
          <w:color w:val="555555"/>
        </w:rPr>
        <w:t>В случае приостановления или аннулирования сертификата незамедлительно возвратить Исполнителю все документы по сертификации, в том числе сертификат соответствия, по первому требованию Исполнителя.</w:t>
      </w:r>
    </w:p>
    <w:p>
      <w:pPr>
        <w:pStyle w:val="Normal"/>
        <w:spacing w:before="100" w:after="100"/>
        <w:ind w:hanging="360" w:start="360"/>
        <w:jc w:val="both"/>
        <w:rPr/>
      </w:pPr>
      <w:r>
        <w:rPr>
          <w:b/>
          <w:bCs/>
          <w:color w:val="2C3E50"/>
        </w:rPr>
        <w:t xml:space="preserve">2.8. </w:t>
      </w:r>
      <w:r>
        <w:rPr>
          <w:color w:val="555555"/>
        </w:rPr>
        <w:t>Заказчик отказывается от предъявления необоснованных претензий к Исполнителю и принимает на себя все риски, связанные с неисполнением обязательств по данному пункту.</w:t>
      </w:r>
    </w:p>
    <w:p>
      <w:pPr>
        <w:pStyle w:val="Normal"/>
        <w:pBdr>
          <w:bottom w:val="single" w:sz="4" w:space="1" w:color="DDDDDD"/>
        </w:pBdr>
        <w:spacing w:before="160" w:after="160"/>
        <w:rPr/>
      </w:pPr>
      <w:r>
        <w:rPr/>
      </w:r>
    </w:p>
    <w:p>
      <w:pPr>
        <w:pStyle w:val="Normal"/>
        <w:spacing w:before="240" w:after="120"/>
        <w:rPr/>
      </w:pPr>
      <w:r>
        <w:rPr>
          <w:b/>
          <w:bCs/>
          <w:caps/>
          <w:color w:val="2C3E50"/>
          <w:sz w:val="22"/>
          <w:szCs w:val="22"/>
        </w:rPr>
        <w:t>3. ОБЯЗАТЕЛЬСТВА ИСПОЛНИТЕЛЯ</w:t>
      </w:r>
    </w:p>
    <w:p>
      <w:pPr>
        <w:pStyle w:val="Normal"/>
        <w:spacing w:before="100" w:after="100"/>
        <w:ind w:hanging="360" w:start="360"/>
        <w:jc w:val="both"/>
        <w:rPr/>
      </w:pPr>
      <w:r>
        <w:rPr>
          <w:b/>
          <w:bCs/>
          <w:color w:val="2C3E50"/>
        </w:rPr>
        <w:t xml:space="preserve">3.1. </w:t>
      </w:r>
      <w:r>
        <w:rPr>
          <w:color w:val="555555"/>
        </w:rPr>
        <w:t>Ознакомить Заказчика с порядком проведения оценки подтверждения соответствия.</w:t>
      </w:r>
    </w:p>
    <w:p>
      <w:pPr>
        <w:pStyle w:val="Normal"/>
        <w:spacing w:before="100" w:after="100"/>
        <w:ind w:hanging="360" w:start="360"/>
        <w:jc w:val="both"/>
        <w:rPr/>
      </w:pPr>
      <w:r>
        <w:rPr>
          <w:b/>
          <w:bCs/>
          <w:color w:val="2C3E50"/>
        </w:rPr>
        <w:t xml:space="preserve">3.2. </w:t>
      </w:r>
      <w:r>
        <w:rPr>
          <w:color w:val="555555"/>
        </w:rPr>
        <w:t>Выполнить оценку подтверждения соответствия продукции в нормативные сроки: не более 3 (трёх) рабочих дней согласно ГОСТ 31972-2013 и СТ РК 2161-2011.</w:t>
      </w:r>
    </w:p>
    <w:p>
      <w:pPr>
        <w:pStyle w:val="Normal"/>
        <w:spacing w:before="100" w:after="100"/>
        <w:ind w:hanging="360" w:start="360"/>
        <w:jc w:val="both"/>
        <w:rPr/>
      </w:pPr>
      <w:r>
        <w:rPr>
          <w:b/>
          <w:bCs/>
          <w:color w:val="2C3E50"/>
        </w:rPr>
        <w:t xml:space="preserve">3.3. </w:t>
      </w:r>
      <w:r>
        <w:rPr>
          <w:color w:val="555555"/>
        </w:rPr>
        <w:t>Обеспечить конфиденциальность всей информации, полученной в ходе взаимодействия с Заказчиком.</w:t>
      </w:r>
    </w:p>
    <w:p>
      <w:pPr>
        <w:pStyle w:val="Normal"/>
        <w:spacing w:before="100" w:after="100"/>
        <w:ind w:hanging="360" w:start="360"/>
        <w:jc w:val="both"/>
        <w:rPr/>
      </w:pPr>
      <w:r>
        <w:rPr>
          <w:b/>
          <w:bCs/>
          <w:color w:val="2C3E50"/>
        </w:rPr>
        <w:t xml:space="preserve">3.4. </w:t>
      </w:r>
      <w:r>
        <w:rPr>
          <w:color w:val="555555"/>
        </w:rPr>
        <w:t>В случае выявления несоответствий — незамедлительно уведомить Заказчика. При наличии у Заказчика заинтересованности в продолжении процедуры сертификации Исполнитель информирует о дополнительных задачах по устранению несоответствий.</w:t>
      </w:r>
    </w:p>
    <w:p>
      <w:pPr>
        <w:pStyle w:val="Normal"/>
        <w:spacing w:before="100" w:after="100"/>
        <w:ind w:hanging="360" w:start="360"/>
        <w:jc w:val="both"/>
        <w:rPr/>
      </w:pPr>
      <w:r>
        <w:rPr>
          <w:b/>
          <w:bCs/>
          <w:color w:val="2C3E50"/>
        </w:rPr>
        <w:t xml:space="preserve">3.5. </w:t>
      </w:r>
      <w:r>
        <w:rPr>
          <w:color w:val="555555"/>
        </w:rPr>
        <w:t>В случае признания иностранного сертификата — выдать сертификат соответствия установленного в РК образца.</w:t>
      </w:r>
    </w:p>
    <w:p>
      <w:pPr>
        <w:pStyle w:val="Normal"/>
        <w:spacing w:before="100" w:after="100"/>
        <w:ind w:hanging="360" w:start="360"/>
        <w:jc w:val="both"/>
        <w:rPr/>
      </w:pPr>
      <w:r>
        <w:rPr>
          <w:b/>
          <w:bCs/>
          <w:color w:val="2C3E50"/>
        </w:rPr>
        <w:t xml:space="preserve">3.6. </w:t>
      </w:r>
      <w:r>
        <w:rPr>
          <w:color w:val="555555"/>
        </w:rPr>
        <w:t>В случае восстановления действия сертификата после приостановления — внести соответствующие изменения в официальные документы.</w:t>
      </w:r>
    </w:p>
    <w:p>
      <w:pPr>
        <w:pStyle w:val="Normal"/>
        <w:spacing w:before="100" w:after="100"/>
        <w:ind w:hanging="360" w:start="360"/>
        <w:jc w:val="both"/>
        <w:rPr/>
      </w:pPr>
      <w:r>
        <w:rPr>
          <w:b/>
          <w:bCs/>
          <w:color w:val="2C3E50"/>
        </w:rPr>
        <w:t xml:space="preserve">3.7. </w:t>
      </w:r>
      <w:r>
        <w:rPr>
          <w:color w:val="555555"/>
        </w:rPr>
        <w:t>Исполнитель не несёт ответственности за скрытые дефекты ТС или ГБО, выявленные после проведения оценки, за последствия эксплуатации ТС, а также за действия третьих лиц и государственных органов.</w:t>
      </w:r>
    </w:p>
    <w:p>
      <w:pPr>
        <w:pStyle w:val="Normal"/>
        <w:pBdr>
          <w:bottom w:val="single" w:sz="4" w:space="1" w:color="DDDDDD"/>
        </w:pBdr>
        <w:spacing w:before="160" w:after="160"/>
        <w:rPr/>
      </w:pPr>
      <w:r>
        <w:rPr/>
      </w:r>
    </w:p>
    <w:p>
      <w:pPr>
        <w:pStyle w:val="Normal"/>
        <w:spacing w:before="240" w:after="120"/>
        <w:rPr/>
      </w:pPr>
      <w:r>
        <w:rPr>
          <w:b/>
          <w:bCs/>
          <w:caps/>
          <w:color w:val="2C3E50"/>
          <w:sz w:val="22"/>
          <w:szCs w:val="22"/>
        </w:rPr>
        <w:t>4. СТОИМОСТЬ РАБОТ И ПОРЯДОК РАСЧЁТОВ</w:t>
      </w:r>
    </w:p>
    <w:p>
      <w:pPr>
        <w:pStyle w:val="Normal"/>
        <w:spacing w:before="100" w:after="100"/>
        <w:ind w:hanging="360" w:start="360"/>
        <w:jc w:val="both"/>
        <w:rPr/>
      </w:pPr>
      <w:r>
        <w:rPr>
          <w:b/>
          <w:bCs/>
          <w:color w:val="2C3E50"/>
        </w:rPr>
        <w:t xml:space="preserve">4.1. </w:t>
      </w:r>
      <w:r>
        <w:rPr>
          <w:color w:val="555555"/>
        </w:rPr>
        <w:t>За проведение работ по настоящему Договору Заказчик оплачивает Исполнителю сумму, указанную в Спецификации №1, являющейся неотъемлемой частью настоящего Договора.</w:t>
      </w:r>
    </w:p>
    <w:p>
      <w:pPr>
        <w:pStyle w:val="Normal"/>
        <w:spacing w:before="100" w:after="100"/>
        <w:ind w:hanging="360" w:start="360"/>
        <w:jc w:val="both"/>
        <w:rPr/>
      </w:pPr>
      <w:r>
        <w:rPr>
          <w:b/>
          <w:bCs/>
          <w:color w:val="2C3E50"/>
        </w:rPr>
        <w:t xml:space="preserve">4.2. </w:t>
      </w:r>
      <w:r>
        <w:rPr>
          <w:color w:val="555555"/>
        </w:rPr>
        <w:t>Оплата осуществляется в размере 100% предоплаты путём безналичного перечисления на основании счёта, выставленного Исполнителем, либо наличными денежными средствами.</w:t>
      </w:r>
    </w:p>
    <w:p>
      <w:pPr>
        <w:pStyle w:val="Normal"/>
        <w:spacing w:before="100" w:after="100"/>
        <w:ind w:hanging="360" w:start="360"/>
        <w:jc w:val="both"/>
        <w:rPr/>
      </w:pPr>
      <w:r>
        <w:rPr>
          <w:b/>
          <w:bCs/>
          <w:color w:val="2C3E50"/>
        </w:rPr>
        <w:t xml:space="preserve">4.3. </w:t>
      </w:r>
      <w:r>
        <w:rPr>
          <w:color w:val="555555"/>
        </w:rPr>
        <w:t>После начала выполнения работ оплаченные денежные средства возврату не подлежат в полном объёме. В случае отказа Заказчика от проведения работ до их фактического начала возврат оплаты производится с удержанием фактически понесённых Исполнителем расходов, включая административные и подготовительные издержки.</w:t>
      </w:r>
    </w:p>
    <w:p>
      <w:pPr>
        <w:pStyle w:val="Normal"/>
        <w:spacing w:before="100" w:after="100"/>
        <w:ind w:hanging="360" w:start="360"/>
        <w:jc w:val="both"/>
        <w:rPr/>
      </w:pPr>
      <w:r>
        <w:rPr>
          <w:b/>
          <w:bCs/>
          <w:color w:val="2C3E50"/>
        </w:rPr>
        <w:t xml:space="preserve">4.4. </w:t>
      </w:r>
      <w:r>
        <w:rPr>
          <w:color w:val="555555"/>
        </w:rPr>
        <w:t>Все банковские комиссии и расходы, связанные с осуществлением платежей, относятся на счёт Заказчика.</w:t>
      </w:r>
    </w:p>
    <w:p>
      <w:pPr>
        <w:pStyle w:val="Normal"/>
        <w:pBdr>
          <w:bottom w:val="single" w:sz="4" w:space="1" w:color="DDDDDD"/>
        </w:pBdr>
        <w:spacing w:before="160" w:after="160"/>
        <w:rPr/>
      </w:pPr>
      <w:r>
        <w:rPr/>
      </w:r>
    </w:p>
    <w:p>
      <w:pPr>
        <w:pStyle w:val="Normal"/>
        <w:spacing w:before="240" w:after="120"/>
        <w:rPr/>
      </w:pPr>
      <w:r>
        <w:rPr>
          <w:b/>
          <w:bCs/>
          <w:caps/>
          <w:color w:val="2C3E50"/>
          <w:sz w:val="22"/>
          <w:szCs w:val="22"/>
        </w:rPr>
        <w:t>5. ПОРЯДОК СДАЧИ И ПРИЁМКИ РАБОТ</w:t>
      </w:r>
    </w:p>
    <w:p>
      <w:pPr>
        <w:pStyle w:val="Normal"/>
        <w:spacing w:before="100" w:after="100"/>
        <w:ind w:hanging="360" w:start="360"/>
        <w:jc w:val="both"/>
        <w:rPr/>
      </w:pPr>
      <w:r>
        <w:rPr>
          <w:b/>
          <w:bCs/>
          <w:color w:val="2C3E50"/>
        </w:rPr>
        <w:t xml:space="preserve">5.1. </w:t>
      </w:r>
      <w:r>
        <w:rPr>
          <w:color w:val="555555"/>
        </w:rPr>
        <w:t>По результатам проведённых работ Исполнитель оформляет освидетельствование газового баллона и передаёт его Заказчику.</w:t>
      </w:r>
    </w:p>
    <w:p>
      <w:pPr>
        <w:pStyle w:val="Normal"/>
        <w:spacing w:before="100" w:after="100"/>
        <w:ind w:hanging="360" w:start="360"/>
        <w:jc w:val="both"/>
        <w:rPr/>
      </w:pPr>
      <w:r>
        <w:rPr>
          <w:b/>
          <w:bCs/>
          <w:color w:val="2C3E50"/>
        </w:rPr>
        <w:t xml:space="preserve">5.2. </w:t>
      </w:r>
      <w:r>
        <w:rPr>
          <w:color w:val="555555"/>
        </w:rPr>
        <w:t>Если в ходе работ обнаруживается невозможность достижения результатов вследствие обстоятельств, не зависящих от Исполнителя (в том числе ненадлежащее состояние ТС, недостоверность документов, предоставленных Заказчиком), Исполнитель вправе приостановить работы, незамедлительно уведомив Заказчика. Стороны обязаны в десятидневный срок рассмотреть вопрос о целесообразности и направлениях продолжения работ.</w:t>
      </w:r>
    </w:p>
    <w:p>
      <w:pPr>
        <w:pStyle w:val="Normal"/>
        <w:spacing w:before="100" w:after="100"/>
        <w:ind w:hanging="360" w:start="360"/>
        <w:jc w:val="both"/>
        <w:rPr/>
      </w:pPr>
      <w:r>
        <w:rPr>
          <w:b/>
          <w:bCs/>
          <w:color w:val="2C3E50"/>
        </w:rPr>
        <w:t xml:space="preserve">5.3. </w:t>
      </w:r>
      <w:r>
        <w:rPr>
          <w:color w:val="555555"/>
        </w:rPr>
        <w:t>Приёмка выполненных работ производится путём подписания акта приёма-передачи. Заказчик обязан принять работы в течение 3 (трёх) рабочих дней с момента уведомления Исполнителем о готовности результатов. В случае уклонения от подписания акта без мотивированного письменного отказа работы считаются принятыми в полном объёме.</w:t>
      </w:r>
    </w:p>
    <w:p>
      <w:pPr>
        <w:pStyle w:val="Normal"/>
        <w:pBdr>
          <w:bottom w:val="single" w:sz="4" w:space="1" w:color="DDDDDD"/>
        </w:pBdr>
        <w:spacing w:before="160" w:after="160"/>
        <w:rPr/>
      </w:pPr>
      <w:r>
        <w:rPr/>
      </w:r>
    </w:p>
    <w:p>
      <w:pPr>
        <w:pStyle w:val="Normal"/>
        <w:spacing w:before="240" w:after="120"/>
        <w:rPr/>
      </w:pPr>
      <w:r>
        <w:rPr>
          <w:b/>
          <w:bCs/>
          <w:caps/>
          <w:color w:val="2C3E50"/>
          <w:sz w:val="22"/>
          <w:szCs w:val="22"/>
        </w:rPr>
        <w:t>6. ОТВЕТСТВЕННОСТЬ СТОРОН</w:t>
      </w:r>
    </w:p>
    <w:p>
      <w:pPr>
        <w:pStyle w:val="Normal"/>
        <w:spacing w:before="100" w:after="100"/>
        <w:ind w:hanging="360" w:start="360"/>
        <w:jc w:val="both"/>
        <w:rPr/>
      </w:pPr>
      <w:r>
        <w:rPr>
          <w:b/>
          <w:bCs/>
          <w:color w:val="2C3E50"/>
        </w:rPr>
        <w:t xml:space="preserve">6.1. </w:t>
      </w:r>
      <w:r>
        <w:rPr>
          <w:color w:val="555555"/>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Республики Казахстан.</w:t>
      </w:r>
    </w:p>
    <w:p>
      <w:pPr>
        <w:pStyle w:val="Normal"/>
        <w:spacing w:before="100" w:after="100"/>
        <w:ind w:hanging="360" w:start="360"/>
        <w:jc w:val="both"/>
        <w:rPr/>
      </w:pPr>
      <w:r>
        <w:rPr>
          <w:b/>
          <w:bCs/>
          <w:color w:val="2C3E50"/>
        </w:rPr>
        <w:t xml:space="preserve">6.2. </w:t>
      </w:r>
      <w:r>
        <w:rPr>
          <w:color w:val="555555"/>
        </w:rPr>
        <w:t>Исполнитель не несёт ответственности за любой прямой или косвенный ущерб, возникший вследствие предоставления Заказчиком недостоверных, неполных или ненадлежащих документов и сведений.</w:t>
      </w:r>
    </w:p>
    <w:p>
      <w:pPr>
        <w:pStyle w:val="Normal"/>
        <w:spacing w:before="100" w:after="100"/>
        <w:ind w:hanging="360" w:start="360"/>
        <w:jc w:val="both"/>
        <w:rPr/>
      </w:pPr>
      <w:r>
        <w:rPr>
          <w:b/>
          <w:bCs/>
          <w:color w:val="2C3E50"/>
        </w:rPr>
        <w:t xml:space="preserve">6.3. </w:t>
      </w:r>
      <w:r>
        <w:rPr>
          <w:color w:val="555555"/>
        </w:rPr>
        <w:t>В случае нарушения Заказчиком п. 2.6 настоящего Договора (ненадлежащее использование сертификата) Заказчик обязан возместить Исполнителю все причинённые убытки в полном объёме, включая упущенную выгоду и расходы на защиту деловой репутации.</w:t>
      </w:r>
    </w:p>
    <w:p>
      <w:pPr>
        <w:pStyle w:val="Normal"/>
        <w:spacing w:before="100" w:after="100"/>
        <w:ind w:hanging="360" w:start="360"/>
        <w:jc w:val="both"/>
        <w:rPr/>
      </w:pPr>
      <w:r>
        <w:rPr>
          <w:b/>
          <w:bCs/>
          <w:color w:val="2C3E50"/>
        </w:rPr>
        <w:t xml:space="preserve">6.4. </w:t>
      </w:r>
      <w:r>
        <w:rPr>
          <w:color w:val="555555"/>
        </w:rPr>
        <w:t>Заказчик принимает на себя полную ответственность за все последствия, возникшие в результате эксплуатации ТС, прошедшего оценку соответствия, если данные последствия обусловлены нарушением Заказчиком условий настоящего Договора, недостоверностью предоставленных сведений или скрытыми дефектами, о которых Заказчик знал или должен был знать.</w:t>
      </w:r>
    </w:p>
    <w:p>
      <w:pPr>
        <w:pStyle w:val="Normal"/>
        <w:spacing w:before="100" w:after="100"/>
        <w:ind w:hanging="360" w:start="360"/>
        <w:jc w:val="both"/>
        <w:rPr/>
      </w:pPr>
      <w:r>
        <w:rPr>
          <w:b/>
          <w:bCs/>
          <w:color w:val="2C3E50"/>
        </w:rPr>
        <w:t xml:space="preserve">6.5. </w:t>
      </w:r>
      <w:r>
        <w:rPr>
          <w:color w:val="555555"/>
        </w:rPr>
        <w:t>Все споры трактуются с приоритетом норм технического регулирования и разрешаются в судебном порядке по месту нахождения Исполнителя.</w:t>
      </w:r>
    </w:p>
    <w:p>
      <w:pPr>
        <w:pStyle w:val="Normal"/>
        <w:pBdr>
          <w:bottom w:val="single" w:sz="4" w:space="1" w:color="DDDDDD"/>
        </w:pBdr>
        <w:spacing w:before="160" w:after="160"/>
        <w:rPr/>
      </w:pPr>
      <w:r>
        <w:rPr/>
      </w:r>
    </w:p>
    <w:p>
      <w:pPr>
        <w:pStyle w:val="Normal"/>
        <w:spacing w:before="240" w:after="120"/>
        <w:rPr/>
      </w:pPr>
      <w:r>
        <w:rPr>
          <w:b/>
          <w:bCs/>
          <w:caps/>
          <w:color w:val="2C3E50"/>
          <w:sz w:val="22"/>
          <w:szCs w:val="22"/>
        </w:rPr>
        <w:t>7. СРОК ДЕЙСТВИЯ ДОГОВОРА И ЗАКЛЮЧИТЕЛЬНЫЕ ПОЛОЖЕНИЯ</w:t>
      </w:r>
    </w:p>
    <w:p>
      <w:pPr>
        <w:pStyle w:val="Normal"/>
        <w:spacing w:before="100" w:after="100"/>
        <w:ind w:hanging="360" w:start="360"/>
        <w:jc w:val="both"/>
        <w:rPr/>
      </w:pPr>
      <w:r>
        <w:rPr>
          <w:b/>
          <w:bCs/>
          <w:color w:val="2C3E50"/>
        </w:rPr>
        <w:t xml:space="preserve">7.1. </w:t>
      </w:r>
      <w:r>
        <w:rPr>
          <w:color w:val="555555"/>
        </w:rPr>
        <w:t>Настоящий Договор вступает в силу с момента его подписания обеими Сторонами и действует до полного исполнения Сторонами своих обязательств.</w:t>
      </w:r>
    </w:p>
    <w:p>
      <w:pPr>
        <w:pStyle w:val="Normal"/>
        <w:spacing w:before="100" w:after="100"/>
        <w:ind w:hanging="360" w:start="360"/>
        <w:jc w:val="both"/>
        <w:rPr/>
      </w:pPr>
      <w:r>
        <w:rPr>
          <w:b/>
          <w:bCs/>
          <w:color w:val="2C3E50"/>
        </w:rPr>
        <w:t xml:space="preserve">7.2. </w:t>
      </w:r>
      <w:r>
        <w:rPr>
          <w:color w:val="555555"/>
        </w:rPr>
        <w:t>Все изменения и дополнения к настоящему Договору имеют юридическую силу только при условии их оформления в письменной форме и подписания уполномоченными представителями Сторон.</w:t>
      </w:r>
    </w:p>
    <w:p>
      <w:pPr>
        <w:pStyle w:val="Normal"/>
        <w:spacing w:before="100" w:after="100"/>
        <w:ind w:hanging="360" w:start="360"/>
        <w:jc w:val="both"/>
        <w:rPr/>
      </w:pPr>
      <w:r>
        <w:rPr>
          <w:b/>
          <w:bCs/>
          <w:color w:val="2C3E50"/>
        </w:rPr>
        <w:t xml:space="preserve">7.3. </w:t>
      </w:r>
      <w:r>
        <w:rPr>
          <w:color w:val="555555"/>
        </w:rPr>
        <w:t>Настоящий Договор составлен в двух экземплярах, имеющих одинаковую юридическую силу, по одному для каждой из Сторон.</w:t>
      </w:r>
    </w:p>
    <w:p>
      <w:pPr>
        <w:pStyle w:val="Normal"/>
        <w:spacing w:before="100" w:after="100"/>
        <w:ind w:hanging="360" w:start="360"/>
        <w:jc w:val="both"/>
        <w:rPr/>
      </w:pPr>
      <w:r>
        <w:rPr>
          <w:b/>
          <w:bCs/>
          <w:color w:val="2C3E50"/>
        </w:rPr>
        <w:t xml:space="preserve">7.4. </w:t>
      </w:r>
      <w:r>
        <w:rPr>
          <w:color w:val="555555"/>
        </w:rPr>
        <w:t>Во всём, что не предусмотрено настоящим Договором, Стороны руководствуются действующим законодательством Республики Казахстан.</w:t>
      </w:r>
    </w:p>
    <w:p>
      <w:pPr>
        <w:pStyle w:val="Normal"/>
        <w:pBdr>
          <w:bottom w:val="single" w:sz="4" w:space="1" w:color="DDDDDD"/>
        </w:pBdr>
        <w:spacing w:before="160" w:after="160"/>
        <w:rPr/>
      </w:pPr>
      <w:r>
        <w:rPr/>
      </w:r>
    </w:p>
    <w:p>
      <w:pPr>
        <w:pStyle w:val="Normal"/>
        <w:spacing w:before="240" w:after="0"/>
        <w:rPr/>
      </w:pPr>
      <w:r>
        <w:rPr/>
      </w:r>
    </w:p>
    <w:p>
      <w:pPr>
        <w:pStyle w:val="Normal"/>
        <w:spacing w:before="240" w:after="120"/>
        <w:rPr/>
      </w:pPr>
      <w:r>
        <w:rPr>
          <w:b/>
          <w:bCs/>
          <w:caps/>
          <w:color w:val="2C3E50"/>
          <w:sz w:val="22"/>
          <w:szCs w:val="22"/>
        </w:rPr>
        <w:t>8. СРОК ДЕЙСТВИЯ СЕРТИФИКАТА И ОСНОВАНИЯ ДЛЯ ЕГО АННУЛИРОВАНИЯ</w:t>
      </w:r>
    </w:p>
    <w:p>
      <w:pPr>
        <w:pStyle w:val="Normal"/>
        <w:spacing w:before="100" w:after="100"/>
        <w:ind w:hanging="360" w:start="360"/>
        <w:jc w:val="both"/>
        <w:rPr/>
      </w:pPr>
      <w:r>
        <w:rPr>
          <w:b/>
          <w:bCs/>
          <w:color w:val="2C3E50"/>
        </w:rPr>
        <w:t xml:space="preserve">8.1. </w:t>
      </w:r>
      <w:r>
        <w:rPr>
          <w:color w:val="555555"/>
        </w:rPr>
        <w:t xml:space="preserve">Оценка соответствия ТС с ГБО проводится </w:t>
      </w:r>
      <w:r>
        <w:rPr>
          <w:b/>
          <w:bCs/>
          <w:color w:val="1A1A2E"/>
        </w:rPr>
        <w:t>однократно</w:t>
      </w:r>
      <w:r>
        <w:rPr>
          <w:color w:val="555555"/>
        </w:rPr>
        <w:t xml:space="preserve">. Выданный сертификат соответствия действителен в течение </w:t>
      </w:r>
      <w:r>
        <w:rPr>
          <w:b/>
          <w:bCs/>
          <w:color w:val="1A1A2E"/>
        </w:rPr>
        <w:t>2 (двух) лет</w:t>
      </w:r>
      <w:r>
        <w:rPr>
          <w:color w:val="555555"/>
        </w:rPr>
        <w:t xml:space="preserve"> с даты его выдачи, если иное не установлено применимыми нормативными документами. По истечении указанного срока сертификат утрачивает юридическую силу, и Заказчик обязан пройти повторную процедуру оценки соответствия в установленном порядке.</w:t>
      </w:r>
    </w:p>
    <w:p>
      <w:pPr>
        <w:pStyle w:val="Normal"/>
        <w:spacing w:before="100" w:after="100"/>
        <w:ind w:hanging="360" w:start="360"/>
        <w:jc w:val="both"/>
        <w:rPr/>
      </w:pPr>
      <w:r>
        <w:rPr>
          <w:b/>
          <w:bCs/>
          <w:color w:val="2C3E50"/>
        </w:rPr>
        <w:t xml:space="preserve">8.2. </w:t>
      </w:r>
      <w:r>
        <w:rPr>
          <w:color w:val="555555"/>
        </w:rPr>
        <w:t>Действие сертификата аннулируется автоматически и без предварительного уведомления со стороны Исполнителя в следующих случаях:</w:t>
      </w:r>
    </w:p>
    <w:p>
      <w:pPr>
        <w:pStyle w:val="Normal"/>
        <w:spacing w:before="80" w:after="80"/>
        <w:ind w:hanging="360" w:start="900"/>
        <w:jc w:val="both"/>
        <w:rPr/>
      </w:pPr>
      <w:r>
        <w:rPr>
          <w:b/>
          <w:bCs/>
          <w:color w:val="2C3E50"/>
        </w:rPr>
        <w:t xml:space="preserve">а) </w:t>
      </w:r>
      <w:r>
        <w:rPr>
          <w:color w:val="555555"/>
        </w:rPr>
        <w:t>получение ТС механических повреждений любой степени тяжести, влияющих или способных повлиять на целостность, техническое состояние либо безопасность ГБО и его составных элементов;</w:t>
      </w:r>
    </w:p>
    <w:p>
      <w:pPr>
        <w:pStyle w:val="Normal"/>
        <w:spacing w:before="80" w:after="80"/>
        <w:ind w:hanging="360" w:start="900"/>
        <w:jc w:val="both"/>
        <w:rPr/>
      </w:pPr>
      <w:r>
        <w:rPr>
          <w:b/>
          <w:bCs/>
          <w:color w:val="2C3E50"/>
        </w:rPr>
        <w:t xml:space="preserve">б) </w:t>
      </w:r>
      <w:r>
        <w:rPr>
          <w:color w:val="555555"/>
        </w:rPr>
        <w:t>участие ТС в дорожно-транспортном происшествии (ДТП) вне зависимости от степени причинённого ущерба;</w:t>
      </w:r>
    </w:p>
    <w:p>
      <w:pPr>
        <w:pStyle w:val="Normal"/>
        <w:spacing w:before="80" w:after="80"/>
        <w:ind w:hanging="360" w:start="900"/>
        <w:jc w:val="both"/>
        <w:rPr/>
      </w:pPr>
      <w:r>
        <w:rPr>
          <w:b/>
          <w:bCs/>
          <w:color w:val="2C3E50"/>
        </w:rPr>
        <w:t xml:space="preserve">в) </w:t>
      </w:r>
      <w:r>
        <w:rPr>
          <w:color w:val="555555"/>
        </w:rPr>
        <w:t>постороннее вмешательство в конструкцию, настройку или техническое состояние ГБО, включая несанкционированный ремонт, модификацию, замену отдельных компонентов либо нарушение пломб и маркировок;</w:t>
      </w:r>
    </w:p>
    <w:p>
      <w:pPr>
        <w:pStyle w:val="Normal"/>
        <w:spacing w:before="80" w:after="80"/>
        <w:ind w:hanging="360" w:start="900"/>
        <w:jc w:val="both"/>
        <w:rPr/>
      </w:pPr>
      <w:r>
        <w:rPr>
          <w:b/>
          <w:bCs/>
          <w:color w:val="2C3E50"/>
        </w:rPr>
        <w:t xml:space="preserve">г) </w:t>
      </w:r>
      <w:r>
        <w:rPr>
          <w:color w:val="555555"/>
        </w:rPr>
        <w:t>иные форс-мажорные обстоятельства, в том числе пожар, затопление, стихийные бедствия, противоправные действия третьих лиц (угон, вандализм, хищение), повлёкшие изменение технического состояния ТС или ГБО.</w:t>
      </w:r>
    </w:p>
    <w:p>
      <w:pPr>
        <w:pStyle w:val="Normal"/>
        <w:spacing w:before="100" w:after="100"/>
        <w:ind w:hanging="360" w:start="360"/>
        <w:jc w:val="both"/>
        <w:rPr/>
      </w:pPr>
      <w:r>
        <w:rPr>
          <w:b/>
          <w:bCs/>
          <w:color w:val="2C3E50"/>
        </w:rPr>
        <w:t xml:space="preserve">8.3. </w:t>
      </w:r>
      <w:r>
        <w:rPr>
          <w:color w:val="555555"/>
        </w:rPr>
        <w:t>Заказчик обязан незамедлительно, но не позднее 3 (трёх) рабочих дней, письменно уведомить Исполнителя о наступлении любого из обстоятельств, указанных в п. 8.2 настоящего Договора. Продолжение эксплуатации ТС с аннулированным сертификатом осуществляется исключительно на риск Заказчика. Исполнитель не несёт никакой ответственности за последствия такой эксплуатации.</w:t>
      </w:r>
    </w:p>
    <w:p>
      <w:pPr>
        <w:pStyle w:val="Normal"/>
        <w:spacing w:before="100" w:after="100"/>
        <w:ind w:hanging="360" w:start="360"/>
        <w:jc w:val="both"/>
        <w:rPr>
          <w:b/>
          <w:bCs/>
          <w:caps/>
          <w:color w:val="2C3E50"/>
          <w:sz w:val="22"/>
          <w:szCs w:val="22"/>
        </w:rPr>
      </w:pPr>
      <w:r>
        <w:rPr>
          <w:b/>
          <w:bCs/>
          <w:color w:val="2C3E50"/>
        </w:rPr>
        <w:t xml:space="preserve">8.4. </w:t>
      </w:r>
      <w:r>
        <w:rPr>
          <w:color w:val="555555"/>
        </w:rPr>
        <w:t>После устранения обстоятельств, повлёкших аннулирование сертификата, Заказчик вправе обратиться к Исполнителю для проведения новой процедуры оценки соответствия на условиях и по тарифам, действующим на момент обращения. Ранее уплаченные суммы по настоящему Договору повторному зачёту не подлежат.</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260" w:right="1260" w:gutter="0" w:header="708" w:top="1080" w:footer="708" w:bottom="108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Arial">
    <w:charset w:val="cc" w:characterSet="windows-1251"/>
    <w:family w:val="swiss"/>
    <w:pitch w:val="variable"/>
  </w:font>
  <w:font w:name="Liberation Sans">
    <w:altName w:val="Arial"/>
    <w:charset w:val="cc" w:characterSet="windows-125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4" w:color="DDDDDD"/>
      </w:pBdr>
      <w:tabs>
        <w:tab w:val="clear" w:pos="708"/>
        <w:tab w:val="right" w:pos="9360" w:leader="none"/>
      </w:tabs>
      <w:spacing w:before="80" w:after="0"/>
      <w:rPr/>
    </w:pPr>
    <w:r>
      <w:rPr>
        <w:color w:val="999999"/>
        <w:sz w:val="16"/>
        <w:szCs w:val="16"/>
      </w:rPr>
      <w:t>Договор №</w:t>
    </w:r>
    <w:r>
      <w:rPr>
        <w:color w:val="999999"/>
        <w:sz w:val="16"/>
        <w:szCs w:val="16"/>
        <w:lang w:val="en-US"/>
      </w:rPr>
      <w:t>{{id}}</w:t>
    </w:r>
    <w:r>
      <w:rPr>
        <w:color w:val="999999"/>
        <w:sz w:val="16"/>
        <w:szCs w:val="16"/>
      </w:rPr>
      <w:t xml:space="preserve"> | ТОО «Көлік сынақ зертханасы»</w:t>
      <w:tab/>
      <w:t xml:space="preserve">Стр.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2</w:t>
    </w:r>
    <w:r>
      <w:rPr>
        <w:color w:val="999999"/>
        <w:sz w:val="16"/>
        <w:szCs w:val="16"/>
      </w:rPr>
      <w:fldChar w:fldCharType="end"/>
    </w:r>
    <w:r>
      <w:rPr>
        <w:color w:val="999999"/>
        <w:sz w:val="16"/>
        <w:szCs w:val="16"/>
      </w:rPr>
      <w:t xml:space="preserve"> из </w:t>
    </w:r>
    <w:r>
      <w:rPr>
        <w:color w:val="999999"/>
        <w:sz w:val="16"/>
        <w:szCs w:val="16"/>
      </w:rPr>
      <w:fldChar w:fldCharType="begin"/>
    </w:r>
    <w:r>
      <w:rPr>
        <w:color w:val="999999"/>
        <w:sz w:val="16"/>
        <w:szCs w:val="16"/>
      </w:rPr>
      <w:instrText xml:space="preserve"> NUMPAGES </w:instrText>
    </w:r>
    <w:r>
      <w:rPr>
        <w:color w:val="999999"/>
        <w:sz w:val="16"/>
        <w:szCs w:val="16"/>
      </w:rPr>
      <w:fldChar w:fldCharType="separate"/>
    </w:r>
    <w:r>
      <w:rPr>
        <w:color w:val="999999"/>
        <w:sz w:val="16"/>
        <w:szCs w:val="16"/>
      </w:rPr>
      <w:t>3</w:t>
    </w:r>
    <w:r>
      <w:rPr>
        <w:color w:val="999999"/>
        <w:sz w:val="16"/>
        <w:szCs w:val="16"/>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4" w:color="DDDDDD"/>
      </w:pBdr>
      <w:tabs>
        <w:tab w:val="clear" w:pos="708"/>
        <w:tab w:val="right" w:pos="9360" w:leader="none"/>
      </w:tabs>
      <w:spacing w:before="80" w:after="0"/>
      <w:rPr/>
    </w:pPr>
    <w:r>
      <w:rPr>
        <w:color w:val="999999"/>
        <w:sz w:val="16"/>
        <w:szCs w:val="16"/>
      </w:rPr>
      <w:t>Договор №</w:t>
    </w:r>
    <w:r>
      <w:rPr>
        <w:color w:val="999999"/>
        <w:sz w:val="16"/>
        <w:szCs w:val="16"/>
        <w:lang w:val="en-US"/>
      </w:rPr>
      <w:t>{{id}}</w:t>
    </w:r>
    <w:r>
      <w:rPr>
        <w:color w:val="999999"/>
        <w:sz w:val="16"/>
        <w:szCs w:val="16"/>
      </w:rPr>
      <w:t xml:space="preserve"> | ТОО «Көлік сынақ зертханасы»</w:t>
      <w:tab/>
      <w:t xml:space="preserve">Стр.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color w:val="999999"/>
        <w:sz w:val="16"/>
        <w:szCs w:val="16"/>
      </w:rPr>
      <w:t>2</w:t>
    </w:r>
    <w:r>
      <w:rPr>
        <w:color w:val="999999"/>
        <w:sz w:val="16"/>
        <w:szCs w:val="16"/>
      </w:rPr>
      <w:fldChar w:fldCharType="end"/>
    </w:r>
    <w:r>
      <w:rPr>
        <w:color w:val="999999"/>
        <w:sz w:val="16"/>
        <w:szCs w:val="16"/>
      </w:rPr>
      <w:t xml:space="preserve"> из </w:t>
    </w:r>
    <w:r>
      <w:rPr>
        <w:color w:val="999999"/>
        <w:sz w:val="16"/>
        <w:szCs w:val="16"/>
      </w:rPr>
      <w:fldChar w:fldCharType="begin"/>
    </w:r>
    <w:r>
      <w:rPr>
        <w:color w:val="999999"/>
        <w:sz w:val="16"/>
        <w:szCs w:val="16"/>
      </w:rPr>
      <w:instrText xml:space="preserve"> NUMPAGES </w:instrText>
    </w:r>
    <w:r>
      <w:rPr>
        <w:color w:val="999999"/>
        <w:sz w:val="16"/>
        <w:szCs w:val="16"/>
      </w:rPr>
      <w:fldChar w:fldCharType="separate"/>
    </w:r>
    <w:r>
      <w:rPr>
        <w:color w:val="999999"/>
        <w:sz w:val="16"/>
        <w:szCs w:val="16"/>
      </w:rPr>
      <w:t>3</w:t>
    </w:r>
    <w:r>
      <w:rPr>
        <w:color w:val="999999"/>
        <w:sz w:val="16"/>
        <w:szCs w:val="1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6" w:space="4" w:color="2C3E50"/>
      </w:pBdr>
      <w:spacing w:before="0" w:after="80"/>
      <w:rPr>
        <w:color w:val="999999"/>
        <w:sz w:val="18"/>
        <w:szCs w:val="18"/>
      </w:rPr>
    </w:pPr>
    <w:r>
      <w:rPr>
        <w:color w:val="999999"/>
        <w:sz w:val="18"/>
        <w:szCs w:val="18"/>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6" w:space="4" w:color="2C3E50"/>
      </w:pBdr>
      <w:spacing w:before="0" w:after="80"/>
      <w:rPr>
        <w:color w:val="999999"/>
        <w:sz w:val="18"/>
        <w:szCs w:val="18"/>
      </w:rPr>
    </w:pPr>
    <w:r>
      <w:rPr>
        <w:color w:val="999999"/>
        <w:sz w:val="18"/>
        <w:szCs w:val="18"/>
      </w:rPr>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Arial" w:hAnsi="Arial" w:eastAsia="Arial" w:cs="Arial"/>
      <w:color w:val="auto"/>
      <w:kern w:val="0"/>
      <w:sz w:val="20"/>
      <w:szCs w:val="20"/>
      <w:lang w:val="ru-RU" w:eastAsia="ru-RU" w:bidi="ar-SA"/>
    </w:rPr>
  </w:style>
  <w:style w:type="paragraph" w:styleId="Heading1">
    <w:name w:val="heading 1"/>
    <w:uiPriority w:val="9"/>
    <w:qFormat/>
    <w:pPr>
      <w:widowControl/>
      <w:suppressAutoHyphens w:val="true"/>
      <w:bidi w:val="0"/>
      <w:spacing w:before="320" w:after="160"/>
      <w:jc w:val="start"/>
      <w:outlineLvl w:val="0"/>
    </w:pPr>
    <w:rPr>
      <w:rFonts w:ascii="Arial" w:hAnsi="Arial" w:eastAsia="Arial" w:cs="Arial"/>
      <w:b/>
      <w:bCs/>
      <w:color w:val="1A1A2E"/>
      <w:kern w:val="0"/>
      <w:sz w:val="26"/>
      <w:szCs w:val="26"/>
      <w:lang w:val="ru-RU" w:eastAsia="ru-RU" w:bidi="ar-SA"/>
    </w:rPr>
  </w:style>
  <w:style w:type="paragraph" w:styleId="Heading2">
    <w:name w:val="heading 2"/>
    <w:uiPriority w:val="9"/>
    <w:semiHidden/>
    <w:unhideWhenUsed/>
    <w:qFormat/>
    <w:pPr>
      <w:widowControl/>
      <w:suppressAutoHyphens w:val="true"/>
      <w:bidi w:val="0"/>
      <w:spacing w:before="0" w:after="0"/>
      <w:jc w:val="start"/>
      <w:outlineLvl w:val="1"/>
    </w:pPr>
    <w:rPr>
      <w:rFonts w:ascii="Arial" w:hAnsi="Arial" w:eastAsia="Arial" w:cs="Arial"/>
      <w:color w:val="2E74B5"/>
      <w:kern w:val="0"/>
      <w:sz w:val="26"/>
      <w:szCs w:val="26"/>
      <w:lang w:val="ru-RU" w:eastAsia="ru-RU" w:bidi="ar-SA"/>
    </w:rPr>
  </w:style>
  <w:style w:type="paragraph" w:styleId="Heading3">
    <w:name w:val="heading 3"/>
    <w:uiPriority w:val="9"/>
    <w:semiHidden/>
    <w:unhideWhenUsed/>
    <w:qFormat/>
    <w:pPr>
      <w:widowControl/>
      <w:suppressAutoHyphens w:val="true"/>
      <w:bidi w:val="0"/>
      <w:spacing w:before="0" w:after="0"/>
      <w:jc w:val="start"/>
      <w:outlineLvl w:val="2"/>
    </w:pPr>
    <w:rPr>
      <w:rFonts w:ascii="Arial" w:hAnsi="Arial" w:eastAsia="Arial" w:cs="Arial"/>
      <w:color w:val="1F4D78"/>
      <w:kern w:val="0"/>
      <w:sz w:val="24"/>
      <w:szCs w:val="24"/>
      <w:lang w:val="ru-RU" w:eastAsia="ru-RU" w:bidi="ar-SA"/>
    </w:rPr>
  </w:style>
  <w:style w:type="paragraph" w:styleId="Heading4">
    <w:name w:val="heading 4"/>
    <w:uiPriority w:val="9"/>
    <w:semiHidden/>
    <w:unhideWhenUsed/>
    <w:qFormat/>
    <w:pPr>
      <w:widowControl/>
      <w:suppressAutoHyphens w:val="true"/>
      <w:bidi w:val="0"/>
      <w:spacing w:before="0" w:after="0"/>
      <w:jc w:val="start"/>
      <w:outlineLvl w:val="3"/>
    </w:pPr>
    <w:rPr>
      <w:rFonts w:ascii="Arial" w:hAnsi="Arial" w:eastAsia="Arial" w:cs="Arial"/>
      <w:i/>
      <w:iCs/>
      <w:color w:val="2E74B5"/>
      <w:kern w:val="0"/>
      <w:sz w:val="20"/>
      <w:szCs w:val="20"/>
      <w:lang w:val="ru-RU" w:eastAsia="ru-RU" w:bidi="ar-SA"/>
    </w:rPr>
  </w:style>
  <w:style w:type="paragraph" w:styleId="Heading5">
    <w:name w:val="heading 5"/>
    <w:uiPriority w:val="9"/>
    <w:semiHidden/>
    <w:unhideWhenUsed/>
    <w:qFormat/>
    <w:pPr>
      <w:widowControl/>
      <w:suppressAutoHyphens w:val="true"/>
      <w:bidi w:val="0"/>
      <w:spacing w:before="0" w:after="0"/>
      <w:jc w:val="start"/>
      <w:outlineLvl w:val="4"/>
    </w:pPr>
    <w:rPr>
      <w:rFonts w:ascii="Arial" w:hAnsi="Arial" w:eastAsia="Arial" w:cs="Arial"/>
      <w:color w:val="2E74B5"/>
      <w:kern w:val="0"/>
      <w:sz w:val="20"/>
      <w:szCs w:val="20"/>
      <w:lang w:val="ru-RU" w:eastAsia="ru-RU" w:bidi="ar-SA"/>
    </w:rPr>
  </w:style>
  <w:style w:type="paragraph" w:styleId="Heading6">
    <w:name w:val="heading 6"/>
    <w:uiPriority w:val="9"/>
    <w:semiHidden/>
    <w:unhideWhenUsed/>
    <w:qFormat/>
    <w:pPr>
      <w:widowControl/>
      <w:suppressAutoHyphens w:val="true"/>
      <w:bidi w:val="0"/>
      <w:spacing w:before="0" w:after="0"/>
      <w:jc w:val="start"/>
      <w:outlineLvl w:val="5"/>
    </w:pPr>
    <w:rPr>
      <w:rFonts w:ascii="Arial" w:hAnsi="Arial" w:eastAsia="Arial" w:cs="Arial"/>
      <w:color w:val="1F4D78"/>
      <w:kern w:val="0"/>
      <w:sz w:val="20"/>
      <w:szCs w:val="20"/>
      <w:lang w:val="ru-RU" w:eastAsia="ru-RU"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Charactersuser">
    <w:name w:val="Footnote Characters (user)"/>
    <w:qFormat/>
    <w:rPr>
      <w:vertAlign w:val="superscript"/>
    </w:rPr>
  </w:style>
  <w:style w:type="character" w:styleId="FootnoteReference">
    <w:name w:val="footnote reference"/>
    <w:rPr>
      <w:vertAlign w:val="superscript"/>
    </w:rPr>
  </w:style>
  <w:style w:type="character" w:styleId="Style8" w:customStyle="1">
    <w:name w:val="Текст сноски Знак"/>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Charactersuser">
    <w:name w:val="Endnote Characters (user)"/>
    <w:qFormat/>
    <w:rPr>
      <w:vertAlign w:val="superscript"/>
    </w:rPr>
  </w:style>
  <w:style w:type="character" w:styleId="EndnoteReference">
    <w:name w:val="endnote reference"/>
    <w:rPr>
      <w:vertAlign w:val="superscript"/>
    </w:rPr>
  </w:style>
  <w:style w:type="character" w:styleId="Style9" w:customStyle="1">
    <w:name w:val="Текст концевой сноски Знак"/>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uiPriority w:val="10"/>
    <w:qFormat/>
    <w:pPr>
      <w:widowControl/>
      <w:suppressAutoHyphens w:val="true"/>
      <w:bidi w:val="0"/>
      <w:spacing w:before="0" w:after="0"/>
      <w:jc w:val="start"/>
    </w:pPr>
    <w:rPr>
      <w:rFonts w:ascii="Arial" w:hAnsi="Arial" w:eastAsia="Arial" w:cs="Arial"/>
      <w:color w:val="auto"/>
      <w:kern w:val="0"/>
      <w:sz w:val="56"/>
      <w:szCs w:val="56"/>
      <w:lang w:val="ru-RU" w:eastAsia="ru-RU" w:bidi="ar-SA"/>
    </w:rPr>
  </w:style>
  <w:style w:type="paragraph" w:styleId="1" w:customStyle="1">
    <w:name w:val="Строгий1"/>
    <w:qFormat/>
    <w:pPr>
      <w:widowControl/>
      <w:suppressAutoHyphens w:val="true"/>
      <w:bidi w:val="0"/>
      <w:spacing w:before="0" w:after="0"/>
      <w:jc w:val="start"/>
    </w:pPr>
    <w:rPr>
      <w:rFonts w:ascii="Arial" w:hAnsi="Arial" w:eastAsia="Arial" w:cs="Arial"/>
      <w:b/>
      <w:bCs/>
      <w:color w:val="auto"/>
      <w:kern w:val="0"/>
      <w:sz w:val="20"/>
      <w:szCs w:val="20"/>
      <w:lang w:val="ru-RU" w:eastAsia="ru-RU" w:bidi="ar-SA"/>
    </w:rPr>
  </w:style>
  <w:style w:type="paragraph" w:styleId="ListParagraph">
    <w:name w:val="List Paragraph"/>
    <w:qFormat/>
    <w:pPr>
      <w:widowControl/>
      <w:suppressAutoHyphens w:val="true"/>
      <w:bidi w:val="0"/>
      <w:spacing w:before="0" w:after="0"/>
      <w:jc w:val="start"/>
    </w:pPr>
    <w:rPr>
      <w:rFonts w:ascii="Arial" w:hAnsi="Arial" w:eastAsia="Arial" w:cs="Arial"/>
      <w:color w:val="auto"/>
      <w:kern w:val="0"/>
      <w:sz w:val="20"/>
      <w:szCs w:val="20"/>
      <w:lang w:val="ru-RU" w:eastAsia="ru-RU" w:bidi="ar-SA"/>
    </w:rPr>
  </w:style>
  <w:style w:type="paragraph" w:styleId="FootnoteText">
    <w:name w:val="footnote text"/>
    <w:link w:val="Style8"/>
    <w:uiPriority w:val="99"/>
    <w:semiHidden/>
    <w:unhideWhenUsed/>
    <w:pPr>
      <w:widowControl/>
      <w:suppressAutoHyphens w:val="true"/>
      <w:bidi w:val="0"/>
      <w:spacing w:before="0" w:after="0"/>
      <w:jc w:val="start"/>
    </w:pPr>
    <w:rPr>
      <w:rFonts w:ascii="Arial" w:hAnsi="Arial" w:eastAsia="Arial" w:cs="Arial"/>
      <w:color w:val="auto"/>
      <w:kern w:val="0"/>
      <w:sz w:val="20"/>
      <w:szCs w:val="20"/>
      <w:lang w:val="ru-RU" w:eastAsia="ru-RU" w:bidi="ar-SA"/>
    </w:rPr>
  </w:style>
  <w:style w:type="paragraph" w:styleId="EndnoteText">
    <w:name w:val="endnote text"/>
    <w:link w:val="Style9"/>
    <w:uiPriority w:val="99"/>
    <w:semiHidden/>
    <w:unhideWhenUsed/>
    <w:pPr>
      <w:widowControl/>
      <w:suppressAutoHyphens w:val="true"/>
      <w:bidi w:val="0"/>
      <w:spacing w:before="0" w:after="0"/>
      <w:jc w:val="start"/>
    </w:pPr>
    <w:rPr>
      <w:rFonts w:ascii="Arial" w:hAnsi="Arial" w:eastAsia="Arial" w:cs="Arial"/>
      <w:color w:val="auto"/>
      <w:kern w:val="0"/>
      <w:sz w:val="20"/>
      <w:szCs w:val="20"/>
      <w:lang w:val="ru-RU" w:eastAsia="ru-RU" w:bidi="ar-SA"/>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paragraph" w:styleId="TableParagraph">
    <w:name w:val="Table Paragraph"/>
    <w:basedOn w:val="Normal"/>
    <w:qFormat/>
    <w:pPr>
      <w:ind w:start="110"/>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TotalTime>
  <Application>LibreOffice/25.8.6.2$Windows_X86_64 LibreOffice_project/b4b39682cd9868fa725bc664aff94278d315bd04</Application>
  <AppVersion>15.0000</AppVersion>
  <Pages>3</Pages>
  <Words>1141</Words>
  <Characters>8225</Characters>
  <CharactersWithSpaces>9317</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2026-05-06T03:55:00Z</dcterms:created>
  <dc:creator>Un-named</dc:creator>
  <dc:description/>
  <dc:language>en-US</dc:language>
  <cp:lastModifiedBy/>
  <dcterms:modified xsi:type="dcterms:W3CDTF">2026-06-06T15:44:51Z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